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65E5" w14:textId="2F28BDC0" w:rsidR="00200FB0" w:rsidRPr="007A70F6" w:rsidRDefault="00200FB0" w:rsidP="003B6BEF">
      <w:pPr>
        <w:pStyle w:val="NagowekFENIKS"/>
      </w:pPr>
      <w:r w:rsidRPr="007A70F6">
        <w:t>Załącznik nr 2 do wniosku o dofinansowanie -</w:t>
      </w:r>
      <w:r w:rsidR="007A70F6" w:rsidRPr="007A70F6">
        <w:t xml:space="preserve"> </w:t>
      </w:r>
      <w:r w:rsidR="00C37151" w:rsidRPr="00A51D49">
        <w:t>FENX.01.05-IW.01-002/25</w:t>
      </w:r>
    </w:p>
    <w:p w14:paraId="7616FA31" w14:textId="2DE0970A"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6A89177E"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36C51D02" w14:textId="77777777" w:rsidR="00233CCD" w:rsidRPr="001E1A62" w:rsidRDefault="00233CCD" w:rsidP="002E21CA">
      <w:pPr>
        <w:spacing w:after="60" w:line="360" w:lineRule="auto"/>
        <w:rPr>
          <w:rFonts w:ascii="Arial" w:hAnsi="Arial" w:cs="Arial"/>
          <w:sz w:val="20"/>
          <w:szCs w:val="20"/>
        </w:rPr>
      </w:pPr>
    </w:p>
    <w:p w14:paraId="42F69A49" w14:textId="77777777" w:rsidR="00233CCD" w:rsidRPr="001E1A62" w:rsidRDefault="00233CCD" w:rsidP="002E21CA">
      <w:pPr>
        <w:spacing w:after="60" w:line="360" w:lineRule="auto"/>
        <w:rPr>
          <w:rFonts w:ascii="Arial" w:hAnsi="Arial" w:cs="Arial"/>
          <w:sz w:val="20"/>
          <w:szCs w:val="20"/>
        </w:rPr>
      </w:pPr>
    </w:p>
    <w:p w14:paraId="0989C414" w14:textId="77777777" w:rsidR="00233CCD" w:rsidRDefault="00233CCD" w:rsidP="002E21CA">
      <w:pPr>
        <w:spacing w:after="60" w:line="360" w:lineRule="auto"/>
        <w:rPr>
          <w:rFonts w:ascii="Arial" w:hAnsi="Arial" w:cs="Arial"/>
          <w:sz w:val="20"/>
          <w:szCs w:val="20"/>
        </w:rPr>
      </w:pPr>
    </w:p>
    <w:p w14:paraId="0533F9C7" w14:textId="77777777" w:rsidR="002E21CA" w:rsidRDefault="002E21CA" w:rsidP="002E21CA">
      <w:pPr>
        <w:spacing w:after="60" w:line="360" w:lineRule="auto"/>
        <w:rPr>
          <w:rFonts w:ascii="Arial" w:hAnsi="Arial" w:cs="Arial"/>
          <w:sz w:val="20"/>
          <w:szCs w:val="20"/>
        </w:rPr>
      </w:pPr>
    </w:p>
    <w:p w14:paraId="3601F7D9" w14:textId="77777777" w:rsidR="00233CCD" w:rsidRDefault="00233CCD" w:rsidP="002E21CA">
      <w:pPr>
        <w:spacing w:after="60" w:line="360" w:lineRule="auto"/>
        <w:rPr>
          <w:rFonts w:ascii="Arial" w:hAnsi="Arial" w:cs="Arial"/>
          <w:sz w:val="20"/>
          <w:szCs w:val="20"/>
        </w:rPr>
      </w:pPr>
    </w:p>
    <w:p w14:paraId="048E0E49" w14:textId="77777777" w:rsidR="00233CCD" w:rsidRDefault="00233CCD" w:rsidP="002E21CA">
      <w:pPr>
        <w:spacing w:after="60" w:line="360" w:lineRule="auto"/>
        <w:rPr>
          <w:rFonts w:ascii="Arial" w:hAnsi="Arial" w:cs="Arial"/>
          <w:sz w:val="20"/>
          <w:szCs w:val="20"/>
        </w:rPr>
      </w:pPr>
    </w:p>
    <w:p w14:paraId="58C6C0D0" w14:textId="77777777" w:rsidR="00233CCD" w:rsidRDefault="00233CCD" w:rsidP="006949F0">
      <w:pPr>
        <w:spacing w:after="60" w:line="360" w:lineRule="auto"/>
        <w:jc w:val="both"/>
        <w:rPr>
          <w:rFonts w:ascii="Arial" w:hAnsi="Arial" w:cs="Arial"/>
          <w:sz w:val="20"/>
          <w:szCs w:val="20"/>
        </w:rPr>
      </w:pPr>
    </w:p>
    <w:p w14:paraId="5BDFD18A"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477E4" w14:textId="77777777" w:rsidR="00A623D4" w:rsidRDefault="00A623D4" w:rsidP="00F97A72">
      <w:pPr>
        <w:spacing w:after="0" w:line="240" w:lineRule="auto"/>
      </w:pPr>
      <w:r>
        <w:separator/>
      </w:r>
    </w:p>
  </w:endnote>
  <w:endnote w:type="continuationSeparator" w:id="0">
    <w:p w14:paraId="35151489" w14:textId="77777777" w:rsidR="00A623D4" w:rsidRDefault="00A623D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21988" w14:textId="77777777" w:rsidR="00A623D4" w:rsidRDefault="00A623D4" w:rsidP="00F97A72">
      <w:pPr>
        <w:spacing w:after="0" w:line="240" w:lineRule="auto"/>
      </w:pPr>
      <w:r>
        <w:separator/>
      </w:r>
    </w:p>
  </w:footnote>
  <w:footnote w:type="continuationSeparator" w:id="0">
    <w:p w14:paraId="5DA38667" w14:textId="77777777" w:rsidR="00A623D4" w:rsidRDefault="00A623D4"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607032">
    <w:abstractNumId w:val="4"/>
  </w:num>
  <w:num w:numId="2" w16cid:durableId="1053387296">
    <w:abstractNumId w:val="5"/>
  </w:num>
  <w:num w:numId="3" w16cid:durableId="1699349522">
    <w:abstractNumId w:val="3"/>
  </w:num>
  <w:num w:numId="4" w16cid:durableId="619537340">
    <w:abstractNumId w:val="7"/>
  </w:num>
  <w:num w:numId="5" w16cid:durableId="894118756">
    <w:abstractNumId w:val="6"/>
  </w:num>
  <w:num w:numId="6" w16cid:durableId="819614895">
    <w:abstractNumId w:val="1"/>
  </w:num>
  <w:num w:numId="7" w16cid:durableId="68160928">
    <w:abstractNumId w:val="0"/>
  </w:num>
  <w:num w:numId="8" w16cid:durableId="2116704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537FF"/>
    <w:rsid w:val="00065A11"/>
    <w:rsid w:val="00065C77"/>
    <w:rsid w:val="00082ED6"/>
    <w:rsid w:val="00084EC9"/>
    <w:rsid w:val="000A7D7A"/>
    <w:rsid w:val="000E4DFF"/>
    <w:rsid w:val="00156963"/>
    <w:rsid w:val="001822F5"/>
    <w:rsid w:val="00193E35"/>
    <w:rsid w:val="001C6A63"/>
    <w:rsid w:val="001D659C"/>
    <w:rsid w:val="001E1A62"/>
    <w:rsid w:val="001F5B07"/>
    <w:rsid w:val="00200FB0"/>
    <w:rsid w:val="00226220"/>
    <w:rsid w:val="00233CCD"/>
    <w:rsid w:val="00253EFB"/>
    <w:rsid w:val="002C528D"/>
    <w:rsid w:val="002D1B5D"/>
    <w:rsid w:val="002E21CA"/>
    <w:rsid w:val="002F2D5A"/>
    <w:rsid w:val="00341A61"/>
    <w:rsid w:val="00346D57"/>
    <w:rsid w:val="003960C0"/>
    <w:rsid w:val="003B6BEF"/>
    <w:rsid w:val="003C792B"/>
    <w:rsid w:val="003E18E3"/>
    <w:rsid w:val="0040679C"/>
    <w:rsid w:val="004168B7"/>
    <w:rsid w:val="004223DC"/>
    <w:rsid w:val="00424F57"/>
    <w:rsid w:val="004B2A1D"/>
    <w:rsid w:val="004D0132"/>
    <w:rsid w:val="004F611B"/>
    <w:rsid w:val="00501920"/>
    <w:rsid w:val="005136DB"/>
    <w:rsid w:val="0058413E"/>
    <w:rsid w:val="005905D2"/>
    <w:rsid w:val="00593D86"/>
    <w:rsid w:val="00594E78"/>
    <w:rsid w:val="005C049E"/>
    <w:rsid w:val="005C483B"/>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72BD8"/>
    <w:rsid w:val="00786E88"/>
    <w:rsid w:val="007924BC"/>
    <w:rsid w:val="007A70F6"/>
    <w:rsid w:val="007F7D62"/>
    <w:rsid w:val="008046AC"/>
    <w:rsid w:val="0081368D"/>
    <w:rsid w:val="0085759A"/>
    <w:rsid w:val="00874ACE"/>
    <w:rsid w:val="0089344A"/>
    <w:rsid w:val="008A72FE"/>
    <w:rsid w:val="009155FC"/>
    <w:rsid w:val="00935D6B"/>
    <w:rsid w:val="00942395"/>
    <w:rsid w:val="00984D97"/>
    <w:rsid w:val="009A4FFF"/>
    <w:rsid w:val="009C2B8B"/>
    <w:rsid w:val="009E26B0"/>
    <w:rsid w:val="00A03C70"/>
    <w:rsid w:val="00A072C8"/>
    <w:rsid w:val="00A32F6A"/>
    <w:rsid w:val="00A51D49"/>
    <w:rsid w:val="00A52255"/>
    <w:rsid w:val="00A5289B"/>
    <w:rsid w:val="00A623D4"/>
    <w:rsid w:val="00AA4DF1"/>
    <w:rsid w:val="00AB632C"/>
    <w:rsid w:val="00AD07E1"/>
    <w:rsid w:val="00B01A6E"/>
    <w:rsid w:val="00B03328"/>
    <w:rsid w:val="00B1696D"/>
    <w:rsid w:val="00B321C1"/>
    <w:rsid w:val="00B35C67"/>
    <w:rsid w:val="00B519D2"/>
    <w:rsid w:val="00B552CD"/>
    <w:rsid w:val="00B60C6B"/>
    <w:rsid w:val="00B87418"/>
    <w:rsid w:val="00BF517C"/>
    <w:rsid w:val="00BF68B6"/>
    <w:rsid w:val="00C16BD2"/>
    <w:rsid w:val="00C37151"/>
    <w:rsid w:val="00C37C4A"/>
    <w:rsid w:val="00C73C1D"/>
    <w:rsid w:val="00C81736"/>
    <w:rsid w:val="00D02839"/>
    <w:rsid w:val="00D54737"/>
    <w:rsid w:val="00D57CCA"/>
    <w:rsid w:val="00DA3EF4"/>
    <w:rsid w:val="00DB5840"/>
    <w:rsid w:val="00E034C3"/>
    <w:rsid w:val="00E11A35"/>
    <w:rsid w:val="00E11ECC"/>
    <w:rsid w:val="00E31E93"/>
    <w:rsid w:val="00E3438B"/>
    <w:rsid w:val="00E55F5D"/>
    <w:rsid w:val="00E818B8"/>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726A"/>
  <w15:chartTrackingRefBased/>
  <w15:docId w15:val="{A26C4CC3-BF6F-4280-B248-BB17DB33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3B6BEF"/>
    <w:pPr>
      <w:spacing w:before="360" w:after="240"/>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3B6BEF"/>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D71E5-0D04-4FAC-B5F6-6508DE41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1054</Words>
  <Characters>6325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7365</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FENX_01_05_06_III 2025_WoD_Zał 2 - Działania info-promo</dc:title>
  <dc:subject/>
  <dc:creator>Wiktoria Gorniak</dc:creator>
  <cp:keywords/>
  <cp:lastModifiedBy>Kowalski Piotr</cp:lastModifiedBy>
  <cp:revision>12</cp:revision>
  <dcterms:created xsi:type="dcterms:W3CDTF">2024-08-19T13:56:00Z</dcterms:created>
  <dcterms:modified xsi:type="dcterms:W3CDTF">2025-03-03T09:09:00Z</dcterms:modified>
</cp:coreProperties>
</file>